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6B27" w14:textId="77777777" w:rsidR="000F43B5" w:rsidRDefault="00000000">
      <w:pPr>
        <w:spacing w:before="120" w:after="120"/>
        <w:jc w:val="right"/>
      </w:pPr>
      <w:r>
        <w:rPr>
          <w:color w:val="666666"/>
        </w:rPr>
        <w:t>Lareus</w:t>
      </w:r>
      <w:r>
        <w:t xml:space="preserve"> | </w:t>
      </w:r>
      <w:r>
        <w:rPr>
          <w:b/>
          <w:bCs/>
        </w:rPr>
        <w:t>1</w:t>
      </w:r>
    </w:p>
    <w:p w14:paraId="39C09D25" w14:textId="77777777" w:rsidR="000F43B5" w:rsidRDefault="000F43B5">
      <w:pPr>
        <w:spacing w:before="120" w:after="120"/>
      </w:pPr>
    </w:p>
    <w:p w14:paraId="2D597686" w14:textId="77777777" w:rsidR="000F43B5" w:rsidRDefault="00000000">
      <w:pPr>
        <w:spacing w:before="120" w:after="120"/>
      </w:pPr>
      <w:r>
        <w:t>Jean-Willy Lareus</w:t>
      </w:r>
    </w:p>
    <w:p w14:paraId="5C24C39A" w14:textId="77777777" w:rsidR="000F43B5" w:rsidRDefault="00000000">
      <w:pPr>
        <w:spacing w:before="120" w:after="120"/>
      </w:pPr>
      <w:r>
        <w:t>Professor Kennedy</w:t>
      </w:r>
    </w:p>
    <w:p w14:paraId="0970CB62" w14:textId="77777777" w:rsidR="000F43B5" w:rsidRDefault="00000000">
      <w:pPr>
        <w:spacing w:before="120" w:after="120"/>
      </w:pPr>
      <w:r>
        <w:t>ENC1102</w:t>
      </w:r>
    </w:p>
    <w:p w14:paraId="47371950" w14:textId="77777777" w:rsidR="000F43B5" w:rsidRDefault="00000000">
      <w:pPr>
        <w:spacing w:before="120" w:after="120"/>
      </w:pPr>
      <w:r>
        <w:t>20 February 2026</w:t>
      </w:r>
    </w:p>
    <w:p w14:paraId="27D2DA12" w14:textId="77777777" w:rsidR="000F43B5" w:rsidRDefault="000F43B5">
      <w:pPr>
        <w:spacing w:before="120" w:after="120"/>
      </w:pPr>
    </w:p>
    <w:p w14:paraId="5F04AD5E" w14:textId="77777777" w:rsidR="000F43B5" w:rsidRDefault="000F43B5">
      <w:pPr>
        <w:spacing w:before="120" w:after="120"/>
      </w:pPr>
    </w:p>
    <w:p w14:paraId="517BDE44" w14:textId="61173C9E" w:rsidR="000F43B5" w:rsidRDefault="00000000" w:rsidP="00A87B40">
      <w:pPr>
        <w:spacing w:before="120" w:after="120"/>
        <w:jc w:val="center"/>
      </w:pPr>
      <w:r>
        <w:rPr>
          <w:b/>
          <w:bCs/>
        </w:rPr>
        <w:t>Inquiry Proposal</w:t>
      </w:r>
    </w:p>
    <w:p w14:paraId="180ABEDB" w14:textId="77777777" w:rsidR="000F43B5" w:rsidRDefault="00000000">
      <w:pPr>
        <w:spacing w:before="120" w:after="120"/>
      </w:pPr>
      <w:r>
        <w:rPr>
          <w:b/>
          <w:bCs/>
        </w:rPr>
        <w:t>Introduction</w:t>
      </w:r>
    </w:p>
    <w:p w14:paraId="6F489D77" w14:textId="77777777" w:rsidR="000F43B5" w:rsidRDefault="00000000">
      <w:pPr>
        <w:spacing w:before="120" w:after="120"/>
      </w:pPr>
      <w:r>
        <w:t xml:space="preserve">Although significant efforts have been made to achieve gender equity, pay disparities between men and women persist in Science, Technology, Engineering, and Mathematics (STEM) fields. Recent data indicate that these gaps remain substantial and, in some cases, are increasing. For instance, U.S. Census Bureau statistics reveal that women in engineering typically earn between 83% and 96% of men’s median earnings, depending on the discipline. Additionally, a 2024 analysis reported that women in science earned 13.1% less than men, while women in engineering earned 9.5% less </w:t>
      </w:r>
      <w:hyperlink r:id="rId5" w:history="1">
        <w:r w:rsidR="000F43B5">
          <w:rPr>
            <w:color w:val="0000EE"/>
            <w:u w:val="single" w:color="0000EE"/>
          </w:rPr>
          <w:t>[swe.org]</w:t>
        </w:r>
      </w:hyperlink>
      <w:hyperlink r:id="rId6" w:history="1">
        <w:r w:rsidR="000F43B5">
          <w:rPr>
            <w:color w:val="0000EE"/>
            <w:u w:val="single" w:color="0000EE"/>
          </w:rPr>
          <w:t>[hrdive.com].</w:t>
        </w:r>
      </w:hyperlink>
    </w:p>
    <w:p w14:paraId="4FCDCA20" w14:textId="77777777" w:rsidR="000F43B5" w:rsidRDefault="00000000">
      <w:pPr>
        <w:spacing w:before="120" w:after="120"/>
      </w:pPr>
      <w:r>
        <w:t>This proposal aims to investigate the underlying causes, persistence, and consequences of the gender pay gap in STEM fields and to identify effective strategies for addressing this issue.</w:t>
      </w:r>
    </w:p>
    <w:p w14:paraId="24D01D0C" w14:textId="77777777" w:rsidR="000F43B5" w:rsidRDefault="000F43B5">
      <w:pPr>
        <w:spacing w:before="120" w:after="120"/>
      </w:pPr>
    </w:p>
    <w:p w14:paraId="5EF70CA8" w14:textId="77777777" w:rsidR="000F43B5" w:rsidRDefault="00000000">
      <w:pPr>
        <w:spacing w:before="120" w:after="120"/>
      </w:pPr>
      <w:r>
        <w:rPr>
          <w:b/>
          <w:bCs/>
        </w:rPr>
        <w:t>Problem Statement</w:t>
      </w:r>
    </w:p>
    <w:p w14:paraId="46AD64D1" w14:textId="77777777" w:rsidR="000F43B5" w:rsidRDefault="00000000">
      <w:pPr>
        <w:spacing w:before="120" w:after="120"/>
      </w:pPr>
      <w:r>
        <w:t xml:space="preserve">Women comprise approximately 26% of the U.S. STEM workforce according to 2024–2025 data, yet they continue to receive lower median salaries than male colleagues with comparable education and experience. The persistence of this pay gap is attributed to structural barriers, including inequitable promotion rates, underrepresentation in leadership, occupational segregation, and implicit bias </w:t>
      </w:r>
      <w:hyperlink r:id="rId7" w:history="1">
        <w:r w:rsidR="000F43B5">
          <w:rPr>
            <w:color w:val="0000EE"/>
            <w:u w:val="single" w:color="0000EE"/>
          </w:rPr>
          <w:t>[aiprm.com].</w:t>
        </w:r>
      </w:hyperlink>
    </w:p>
    <w:p w14:paraId="05019353" w14:textId="77777777" w:rsidR="000F43B5" w:rsidRDefault="00000000">
      <w:pPr>
        <w:spacing w:before="120" w:after="120"/>
      </w:pPr>
      <w:r>
        <w:t>Identifying the origins of this disparity is essential for fostering equitable workplaces, promoting innovation, and sustaining a robust pipeline of women entering and remaining in STEM careers (Company, 2025).</w:t>
      </w:r>
    </w:p>
    <w:p w14:paraId="287D921F" w14:textId="77777777" w:rsidR="000F43B5" w:rsidRDefault="00000000">
      <w:pPr>
        <w:spacing w:before="120" w:after="120"/>
      </w:pPr>
      <w:r>
        <w:rPr>
          <w:b/>
          <w:bCs/>
        </w:rPr>
        <w:t>Research Questions</w:t>
      </w:r>
    </w:p>
    <w:p w14:paraId="745B873A" w14:textId="77777777" w:rsidR="000F43B5" w:rsidRDefault="00000000">
      <w:pPr>
        <w:spacing w:before="120" w:after="120"/>
      </w:pPr>
      <w:r>
        <w:t>This inquiry will address several key research questions:</w:t>
      </w:r>
    </w:p>
    <w:p w14:paraId="765F9F59" w14:textId="77777777" w:rsidR="000F43B5" w:rsidRDefault="00000000">
      <w:pPr>
        <w:numPr>
          <w:ilvl w:val="0"/>
          <w:numId w:val="1"/>
        </w:numPr>
        <w:spacing w:before="240" w:after="120"/>
        <w:ind w:hanging="329"/>
      </w:pPr>
      <w:r>
        <w:t>To what extent does a measurable gender pay gap exist across STEM disciplines in the United States?</w:t>
      </w:r>
    </w:p>
    <w:p w14:paraId="4D710D19" w14:textId="77777777" w:rsidR="000F43B5" w:rsidRDefault="00000000">
      <w:pPr>
        <w:numPr>
          <w:ilvl w:val="0"/>
          <w:numId w:val="1"/>
        </w:numPr>
        <w:spacing w:before="120" w:after="120"/>
        <w:ind w:hanging="329"/>
      </w:pPr>
      <w:r>
        <w:t xml:space="preserve">Disparities vary across fields; for example, women in computer-related roles earn between 73% and 98% of men’s earnings, depending on the specific job type </w:t>
      </w:r>
      <w:hyperlink r:id="rId8" w:history="1">
        <w:r w:rsidR="000F43B5">
          <w:rPr>
            <w:color w:val="0000EE"/>
            <w:u w:val="single" w:color="0000EE"/>
          </w:rPr>
          <w:t>[swe.org].</w:t>
        </w:r>
      </w:hyperlink>
    </w:p>
    <w:p w14:paraId="051043FD" w14:textId="77777777" w:rsidR="000F43B5" w:rsidRDefault="00000000">
      <w:pPr>
        <w:numPr>
          <w:ilvl w:val="0"/>
          <w:numId w:val="1"/>
        </w:numPr>
        <w:spacing w:before="120" w:after="120"/>
        <w:ind w:hanging="329"/>
      </w:pPr>
      <w:r>
        <w:lastRenderedPageBreak/>
        <w:t>Research indicates that the COVID</w:t>
      </w:r>
      <w:r>
        <w:noBreakHyphen/>
        <w:t xml:space="preserve">19 pandemic disrupted women’s career trajectories, frequently necessitating changes in work arrangements that may have hindered career progression and exacerbated pay gaps in STEM [hrdive.com]. STEM. </w:t>
      </w:r>
      <w:hyperlink r:id="rId9" w:history="1">
        <w:r w:rsidR="000F43B5">
          <w:rPr>
            <w:color w:val="0000EE"/>
            <w:u w:val="single" w:color="0000EE"/>
          </w:rPr>
          <w:t>[hrdive.com]</w:t>
        </w:r>
      </w:hyperlink>
    </w:p>
    <w:p w14:paraId="5C0CF476" w14:textId="77777777" w:rsidR="000F43B5" w:rsidRDefault="00000000">
      <w:pPr>
        <w:numPr>
          <w:ilvl w:val="0"/>
          <w:numId w:val="1"/>
        </w:numPr>
        <w:spacing w:before="120" w:after="120"/>
        <w:ind w:hanging="329"/>
      </w:pPr>
      <w:r>
        <w:t>How do representation levels and leadership opportunities influence pay inequality in STEM?</w:t>
      </w:r>
    </w:p>
    <w:p w14:paraId="780B2B81" w14:textId="77777777" w:rsidR="000F43B5" w:rsidRDefault="00000000">
      <w:pPr>
        <w:numPr>
          <w:ilvl w:val="0"/>
          <w:numId w:val="1"/>
        </w:numPr>
        <w:spacing w:before="120" w:after="120"/>
        <w:ind w:hanging="329"/>
      </w:pPr>
      <w:r>
        <w:t>Women continue to be significantly underrepresented in technical, artificial intelligence, and leadership positions, occupying only 26% of STEM roles and an even smaller proportion of decision-making positions in major technology companies [lemon.io].</w:t>
      </w:r>
    </w:p>
    <w:p w14:paraId="5F90EF7E" w14:textId="77777777" w:rsidR="000F43B5" w:rsidRDefault="00000000">
      <w:pPr>
        <w:numPr>
          <w:ilvl w:val="0"/>
          <w:numId w:val="1"/>
        </w:numPr>
        <w:spacing w:before="120" w:after="240"/>
        <w:ind w:hanging="329"/>
      </w:pPr>
      <w:r>
        <w:t>What long-term effects does the pay gap have on the recruitment, retention, and advancement of women in STEM?</w:t>
      </w:r>
    </w:p>
    <w:p w14:paraId="5640A9E3" w14:textId="77777777" w:rsidR="000F43B5" w:rsidRDefault="00000000">
      <w:pPr>
        <w:spacing w:before="120" w:after="120"/>
      </w:pPr>
      <w:r>
        <w:rPr>
          <w:b/>
          <w:bCs/>
        </w:rPr>
        <w:t>Purpose and Importance of the Study</w:t>
      </w:r>
    </w:p>
    <w:p w14:paraId="09C23FA3" w14:textId="77777777" w:rsidR="000F43B5" w:rsidRDefault="00000000">
      <w:pPr>
        <w:spacing w:before="120" w:after="120"/>
      </w:pPr>
      <w:r>
        <w:t>This inquiry seeks to develop a comprehensive understanding of the gender pay gap in STEM and its broader implications. The anticipated findings will be valuable to the following:</w:t>
      </w:r>
    </w:p>
    <w:p w14:paraId="7C0FFF57" w14:textId="77777777" w:rsidR="000F43B5" w:rsidRDefault="00000000">
      <w:pPr>
        <w:numPr>
          <w:ilvl w:val="0"/>
          <w:numId w:val="2"/>
        </w:numPr>
        <w:spacing w:before="240" w:after="120"/>
        <w:ind w:hanging="242"/>
      </w:pPr>
      <w:r>
        <w:t>Educational institutions are formulating targeted STEM programs.</w:t>
      </w:r>
    </w:p>
    <w:p w14:paraId="0CC3B67A" w14:textId="77777777" w:rsidR="000F43B5" w:rsidRDefault="00000000">
      <w:pPr>
        <w:numPr>
          <w:ilvl w:val="0"/>
          <w:numId w:val="2"/>
        </w:numPr>
        <w:spacing w:before="120" w:after="120"/>
        <w:ind w:hanging="242"/>
      </w:pPr>
      <w:r>
        <w:t>Employers seeking to improve diversity, equity, and inclusion (DEI) outcomes.</w:t>
      </w:r>
    </w:p>
    <w:p w14:paraId="4B3C2230" w14:textId="77777777" w:rsidR="000F43B5" w:rsidRDefault="00000000">
      <w:pPr>
        <w:numPr>
          <w:ilvl w:val="0"/>
          <w:numId w:val="2"/>
        </w:numPr>
        <w:spacing w:before="120" w:after="120"/>
        <w:ind w:hanging="242"/>
      </w:pPr>
      <w:r>
        <w:t>Policymakers are promoting pay transparency and fair hiring practices.</w:t>
      </w:r>
    </w:p>
    <w:p w14:paraId="5CF86A4C" w14:textId="77777777" w:rsidR="000F43B5" w:rsidRDefault="00000000">
      <w:pPr>
        <w:numPr>
          <w:ilvl w:val="0"/>
          <w:numId w:val="2"/>
        </w:numPr>
        <w:spacing w:before="120" w:after="240"/>
        <w:ind w:hanging="242"/>
      </w:pPr>
      <w:r>
        <w:t>Women pursuing STEM careers who require accurate information to negotiate and advance professionally.</w:t>
      </w:r>
    </w:p>
    <w:p w14:paraId="4112BDCD" w14:textId="77777777" w:rsidR="000F43B5" w:rsidRDefault="00000000">
      <w:pPr>
        <w:spacing w:before="120" w:after="120"/>
      </w:pPr>
      <w:r>
        <w:t>Addressing the pay gap promotes fairness and enhances innovation and productivity by ensuring diverse perspectives are represented in high-impact fields (Women in STEM: A Gender Gap to Innovation, 2011).</w:t>
      </w:r>
    </w:p>
    <w:p w14:paraId="0708334C" w14:textId="77777777" w:rsidR="000F43B5" w:rsidRDefault="00000000">
      <w:pPr>
        <w:spacing w:before="120" w:after="120"/>
      </w:pPr>
      <w:r>
        <w:rPr>
          <w:b/>
          <w:bCs/>
        </w:rPr>
        <w:t>Methodology</w:t>
      </w:r>
    </w:p>
    <w:p w14:paraId="60A4AB92" w14:textId="77777777" w:rsidR="000F43B5" w:rsidRDefault="00000000">
      <w:pPr>
        <w:spacing w:before="120" w:after="120"/>
      </w:pPr>
      <w:r>
        <w:t>This study will employ a mixed methods approach:</w:t>
      </w:r>
    </w:p>
    <w:p w14:paraId="2856EC63" w14:textId="77777777" w:rsidR="000F43B5" w:rsidRDefault="00000000">
      <w:pPr>
        <w:spacing w:before="120" w:after="120"/>
      </w:pPr>
      <w:r>
        <w:t>Quantitative Analysis</w:t>
      </w:r>
    </w:p>
    <w:p w14:paraId="29B75E78" w14:textId="77777777" w:rsidR="000F43B5" w:rsidRDefault="00000000">
      <w:pPr>
        <w:numPr>
          <w:ilvl w:val="0"/>
          <w:numId w:val="3"/>
        </w:numPr>
        <w:spacing w:before="240" w:after="120"/>
        <w:ind w:hanging="242"/>
      </w:pPr>
      <w:r>
        <w:t xml:space="preserve">Examine datasets from sources such as the U.S. Census Bureau, National Science Foundation, and sector reports (e.g., </w:t>
      </w:r>
      <w:proofErr w:type="spellStart"/>
      <w:r>
        <w:t>Adzuna’s</w:t>
      </w:r>
      <w:proofErr w:type="spellEnd"/>
      <w:r>
        <w:t xml:space="preserve"> 2024 analysis).</w:t>
      </w:r>
    </w:p>
    <w:p w14:paraId="7AAFE686" w14:textId="77777777" w:rsidR="000F43B5" w:rsidRDefault="00000000">
      <w:pPr>
        <w:numPr>
          <w:ilvl w:val="0"/>
          <w:numId w:val="3"/>
        </w:numPr>
        <w:spacing w:before="120" w:after="120"/>
        <w:ind w:hanging="242"/>
      </w:pPr>
      <w:r>
        <w:t>Compare wage differences across STEM subfields, experience levels, educational backgrounds, and geographic regions.</w:t>
      </w:r>
    </w:p>
    <w:p w14:paraId="492BA714" w14:textId="77777777" w:rsidR="000F43B5" w:rsidRDefault="00000000">
      <w:pPr>
        <w:numPr>
          <w:ilvl w:val="0"/>
          <w:numId w:val="3"/>
        </w:numPr>
        <w:spacing w:before="120" w:after="240"/>
        <w:ind w:hanging="242"/>
      </w:pPr>
      <w:r>
        <w:t xml:space="preserve">Assess changes over time, noting that the gender pay gap in STEM doubled from 2.9% in 2022 to 6% in 2024 in the U.S. overall. </w:t>
      </w:r>
      <w:hyperlink r:id="rId10" w:history="1">
        <w:r w:rsidR="000F43B5">
          <w:rPr>
            <w:color w:val="0000EE"/>
            <w:u w:val="single" w:color="0000EE"/>
          </w:rPr>
          <w:t>[hrdive.com]</w:t>
        </w:r>
      </w:hyperlink>
    </w:p>
    <w:p w14:paraId="2AB5829C" w14:textId="77777777" w:rsidR="000F43B5" w:rsidRDefault="00000000">
      <w:pPr>
        <w:spacing w:before="120" w:after="120"/>
      </w:pPr>
      <w:r>
        <w:t>Qualitative Research</w:t>
      </w:r>
    </w:p>
    <w:p w14:paraId="10605412" w14:textId="77777777" w:rsidR="000F43B5" w:rsidRDefault="00000000">
      <w:pPr>
        <w:numPr>
          <w:ilvl w:val="0"/>
          <w:numId w:val="4"/>
        </w:numPr>
        <w:spacing w:before="240" w:after="120"/>
        <w:ind w:hanging="242"/>
      </w:pPr>
      <w:r>
        <w:t>Interviews and surveys will be conducted with women employed in STEM fields to examine experiences related to hiring, promotion, and workplace culture.</w:t>
      </w:r>
    </w:p>
    <w:p w14:paraId="5A85EF42" w14:textId="77777777" w:rsidR="000F43B5" w:rsidRDefault="00000000">
      <w:pPr>
        <w:numPr>
          <w:ilvl w:val="0"/>
          <w:numId w:val="4"/>
        </w:numPr>
        <w:spacing w:before="120" w:after="240"/>
        <w:ind w:hanging="242"/>
      </w:pPr>
      <w:r>
        <w:t>Review organizational practices and mentoring programs.</w:t>
      </w:r>
    </w:p>
    <w:p w14:paraId="5F38A412" w14:textId="77777777" w:rsidR="000F43B5" w:rsidRDefault="00000000">
      <w:pPr>
        <w:spacing w:before="120" w:after="120"/>
      </w:pPr>
      <w:r>
        <w:rPr>
          <w:b/>
          <w:bCs/>
        </w:rPr>
        <w:lastRenderedPageBreak/>
        <w:t>Predicted Outcomes</w:t>
      </w:r>
    </w:p>
    <w:p w14:paraId="1AFB325D" w14:textId="77777777" w:rsidR="000F43B5" w:rsidRDefault="00000000">
      <w:pPr>
        <w:spacing w:before="120" w:after="120"/>
      </w:pPr>
      <w:r>
        <w:t>This inquiry is expected to yield the following findings:</w:t>
      </w:r>
    </w:p>
    <w:p w14:paraId="31C7DBE0" w14:textId="77777777" w:rsidR="000F43B5" w:rsidRDefault="00000000">
      <w:pPr>
        <w:numPr>
          <w:ilvl w:val="0"/>
          <w:numId w:val="5"/>
        </w:numPr>
        <w:spacing w:before="240" w:after="120"/>
        <w:ind w:hanging="242"/>
      </w:pPr>
      <w:r>
        <w:t>Persistent wage disparities are influenced by systemic, cultural, and structural barriers. (The Ethical Role of Pro-Equality Laws in Reducing Executive Gender Pay Gaps under Cultural Resistance, 2025)</w:t>
      </w:r>
    </w:p>
    <w:p w14:paraId="5B4ADBCB" w14:textId="77777777" w:rsidR="000F43B5" w:rsidRDefault="00000000">
      <w:pPr>
        <w:numPr>
          <w:ilvl w:val="0"/>
          <w:numId w:val="5"/>
        </w:numPr>
        <w:spacing w:before="120" w:after="120"/>
        <w:ind w:hanging="242"/>
      </w:pPr>
      <w:r>
        <w:t>Identification of best practices from organizations that have successfully narrowed the pay gap. (Pay Transparency Tools to Close the Gender Wage Gap, n.d.)</w:t>
      </w:r>
    </w:p>
    <w:p w14:paraId="61DED628" w14:textId="77777777" w:rsidR="000F43B5" w:rsidRDefault="00000000">
      <w:pPr>
        <w:numPr>
          <w:ilvl w:val="0"/>
          <w:numId w:val="5"/>
        </w:numPr>
        <w:spacing w:before="120" w:after="120"/>
        <w:ind w:hanging="242"/>
      </w:pPr>
      <w:r>
        <w:t>The relationship between leadership representation and equitable pay demonstrates that stalled promotions and underrepresentation of women in leadership roles are directly correlated with widening pay disparities [hrdive.com].</w:t>
      </w:r>
    </w:p>
    <w:p w14:paraId="3CCAAD73" w14:textId="77777777" w:rsidR="000F43B5" w:rsidRDefault="00000000">
      <w:pPr>
        <w:numPr>
          <w:ilvl w:val="0"/>
          <w:numId w:val="5"/>
        </w:numPr>
        <w:spacing w:before="120" w:after="240"/>
        <w:ind w:hanging="242"/>
      </w:pPr>
      <w:r>
        <w:t>Development of effective recommendations for educational institutions, employers, and government officials. (Special Topics Annual Report: Women in STEM, n.d.)</w:t>
      </w:r>
    </w:p>
    <w:p w14:paraId="466CE45A" w14:textId="77777777" w:rsidR="000F43B5" w:rsidRDefault="00000000">
      <w:pPr>
        <w:spacing w:before="120" w:after="120"/>
      </w:pPr>
      <w:r>
        <w:rPr>
          <w:b/>
          <w:bCs/>
        </w:rPr>
        <w:t>Conclusion</w:t>
      </w:r>
    </w:p>
    <w:p w14:paraId="5A8126C9" w14:textId="77777777" w:rsidR="000F43B5" w:rsidRDefault="00000000">
      <w:pPr>
        <w:spacing w:before="120" w:after="120"/>
      </w:pPr>
      <w:r>
        <w:t>The gender pay gap in STEM remains a significant problem to economic equality and limits the full potential of the STEM workforce (Fry &amp; Aragão, 2023). Investigating the dimensions and causes of this gap will inform evidence-based solutions that promote equality, enhance retention, and empower women within the STEM field.</w:t>
      </w:r>
    </w:p>
    <w:p w14:paraId="190FEC46" w14:textId="77777777" w:rsidR="00B71E34" w:rsidRDefault="00B71E34">
      <w:pPr>
        <w:spacing w:before="120" w:after="120"/>
      </w:pPr>
    </w:p>
    <w:p w14:paraId="688EF9E5" w14:textId="77777777" w:rsidR="00B71E34" w:rsidRDefault="00B71E34">
      <w:pPr>
        <w:spacing w:before="120" w:after="120"/>
      </w:pPr>
    </w:p>
    <w:p w14:paraId="7BF729B9" w14:textId="07766A4D" w:rsidR="00B71E34" w:rsidRDefault="00B71E34">
      <w:pPr>
        <w:spacing w:before="120" w:after="120"/>
        <w:rPr>
          <w:b/>
          <w:bCs/>
        </w:rPr>
      </w:pPr>
      <w:r>
        <w:rPr>
          <w:b/>
          <w:bCs/>
        </w:rPr>
        <w:t>AI disclaimer</w:t>
      </w:r>
    </w:p>
    <w:p w14:paraId="6A4C6F6A" w14:textId="1A7B13C6" w:rsidR="00B71E34" w:rsidRPr="00B71E34" w:rsidRDefault="00B71E34">
      <w:pPr>
        <w:spacing w:before="120" w:after="120"/>
      </w:pPr>
      <w:r>
        <w:t xml:space="preserve">I used Grammarly to rephrase and correct run in sentences and to format my work cited. I also used Copilot to help brainstorm and expand how I put my thoughts into words. The main paragraphs were all </w:t>
      </w:r>
      <w:proofErr w:type="gramStart"/>
      <w:r>
        <w:t>type</w:t>
      </w:r>
      <w:proofErr w:type="gramEnd"/>
      <w:r>
        <w:t xml:space="preserve"> </w:t>
      </w:r>
      <w:proofErr w:type="gramStart"/>
      <w:r>
        <w:t>by</w:t>
      </w:r>
      <w:proofErr w:type="gramEnd"/>
      <w:r>
        <w:t xml:space="preserve"> </w:t>
      </w:r>
      <w:proofErr w:type="gramStart"/>
      <w:r>
        <w:t>me</w:t>
      </w:r>
      <w:proofErr w:type="gramEnd"/>
      <w:r>
        <w:t xml:space="preserve"> no generative AI was </w:t>
      </w:r>
      <w:proofErr w:type="gramStart"/>
      <w:r>
        <w:t>use</w:t>
      </w:r>
      <w:proofErr w:type="gramEnd"/>
      <w:r>
        <w:t xml:space="preserve"> to generate </w:t>
      </w:r>
      <w:proofErr w:type="gramStart"/>
      <w:r>
        <w:t>paragraph</w:t>
      </w:r>
      <w:proofErr w:type="gramEnd"/>
      <w:r>
        <w:t xml:space="preserve"> or sentences.</w:t>
      </w:r>
    </w:p>
    <w:p w14:paraId="211C68E9" w14:textId="77777777" w:rsidR="000F43B5" w:rsidRDefault="000F43B5">
      <w:pPr>
        <w:spacing w:before="120" w:after="120"/>
      </w:pPr>
    </w:p>
    <w:p w14:paraId="59F16E23" w14:textId="77777777" w:rsidR="000F43B5" w:rsidRDefault="000F43B5">
      <w:pPr>
        <w:spacing w:before="120" w:after="120"/>
      </w:pPr>
    </w:p>
    <w:p w14:paraId="1E1B1719" w14:textId="77777777" w:rsidR="000F43B5" w:rsidRDefault="000F43B5">
      <w:pPr>
        <w:spacing w:before="120" w:after="120"/>
      </w:pPr>
    </w:p>
    <w:p w14:paraId="1051E085" w14:textId="77777777" w:rsidR="000F43B5" w:rsidRDefault="000F43B5">
      <w:pPr>
        <w:spacing w:before="120" w:after="120"/>
      </w:pPr>
    </w:p>
    <w:p w14:paraId="301EF7E7" w14:textId="77777777" w:rsidR="000F43B5" w:rsidRDefault="000F43B5">
      <w:pPr>
        <w:spacing w:before="120" w:after="120"/>
      </w:pPr>
    </w:p>
    <w:p w14:paraId="4C1310AE" w14:textId="77777777" w:rsidR="000F43B5" w:rsidRDefault="000F43B5">
      <w:pPr>
        <w:spacing w:before="120" w:after="120"/>
      </w:pPr>
    </w:p>
    <w:p w14:paraId="4B96AC78" w14:textId="77777777" w:rsidR="00B71E34" w:rsidRDefault="00B71E34">
      <w:pPr>
        <w:spacing w:before="120" w:after="120"/>
      </w:pPr>
    </w:p>
    <w:p w14:paraId="70F8FADC" w14:textId="77777777" w:rsidR="00B71E34" w:rsidRDefault="00B71E34">
      <w:pPr>
        <w:spacing w:before="120" w:after="120"/>
      </w:pPr>
    </w:p>
    <w:p w14:paraId="54A0A208" w14:textId="77777777" w:rsidR="00B71E34" w:rsidRDefault="00B71E34">
      <w:pPr>
        <w:spacing w:before="120" w:after="120"/>
      </w:pPr>
    </w:p>
    <w:p w14:paraId="6C88A1C6" w14:textId="77777777" w:rsidR="00B71E34" w:rsidRDefault="00B71E34">
      <w:pPr>
        <w:spacing w:before="120" w:after="120"/>
      </w:pPr>
    </w:p>
    <w:p w14:paraId="267FB079" w14:textId="77777777" w:rsidR="00B71E34" w:rsidRDefault="00B71E34">
      <w:pPr>
        <w:spacing w:before="120" w:after="120"/>
      </w:pPr>
    </w:p>
    <w:p w14:paraId="59E63090" w14:textId="77777777" w:rsidR="00B71E34" w:rsidRDefault="00B71E34">
      <w:pPr>
        <w:spacing w:before="120" w:after="120"/>
      </w:pPr>
    </w:p>
    <w:p w14:paraId="1273CE36" w14:textId="77777777" w:rsidR="000F43B5" w:rsidRDefault="00000000">
      <w:pPr>
        <w:spacing w:before="120" w:after="120"/>
      </w:pPr>
      <w:r>
        <w:rPr>
          <w:b/>
          <w:bCs/>
        </w:rPr>
        <w:lastRenderedPageBreak/>
        <w:t xml:space="preserve">Work Cited </w:t>
      </w:r>
    </w:p>
    <w:p w14:paraId="7FBAAFC6" w14:textId="77777777" w:rsidR="000F43B5" w:rsidRDefault="00000000">
      <w:pPr>
        <w:spacing w:before="120" w:after="120"/>
      </w:pPr>
      <w:r>
        <w:t xml:space="preserve">Lorden, J. F., Huet-Hudson, Y. M., </w:t>
      </w:r>
      <w:proofErr w:type="spellStart"/>
      <w:r>
        <w:t>Wemlinger</w:t>
      </w:r>
      <w:proofErr w:type="spellEnd"/>
      <w:r>
        <w:t xml:space="preserve">, E., Dulin, A., &amp; Grant, S. (2019). ADVANCE: Institutional Transformations for the Future of the Faculty. Social Science Research Network. </w:t>
      </w:r>
      <w:hyperlink r:id="rId11" w:history="1">
        <w:r w:rsidR="000F43B5">
          <w:rPr>
            <w:color w:val="0000EE"/>
            <w:u w:val="single" w:color="0000EE"/>
          </w:rPr>
          <w:t>https://doi.org/10.2139/ssrn.3344653</w:t>
        </w:r>
      </w:hyperlink>
    </w:p>
    <w:p w14:paraId="37F64E0B" w14:textId="77777777" w:rsidR="000F43B5" w:rsidRDefault="00000000">
      <w:pPr>
        <w:spacing w:before="120" w:after="120"/>
      </w:pPr>
      <w:r>
        <w:t xml:space="preserve">Miles, G., &amp; Miles, S. (2011). The Chab Dai study on (Re-?) integration: Researching the </w:t>
      </w:r>
      <w:proofErr w:type="gramStart"/>
      <w:r>
        <w:t>life-cycle</w:t>
      </w:r>
      <w:proofErr w:type="gramEnd"/>
      <w:r>
        <w:t xml:space="preserve"> of survivors of sexual exploitation and trafficking -- mid 2011 report.</w:t>
      </w:r>
    </w:p>
    <w:p w14:paraId="7F1CD36F" w14:textId="77777777" w:rsidR="000F43B5" w:rsidRDefault="00000000">
      <w:pPr>
        <w:spacing w:before="120" w:after="120"/>
      </w:pPr>
      <w:r>
        <w:t xml:space="preserve">Understanding the Risk of Bat Coronavirus Emergence - The Intercept </w:t>
      </w:r>
      <w:hyperlink r:id="rId12" w:history="1">
        <w:r w:rsidR="000F43B5">
          <w:rPr>
            <w:color w:val="0000EE"/>
            <w:u w:val="single" w:color="0000EE"/>
          </w:rPr>
          <w:t>https://theintercept.com/document/2021/09/08/understanding-the-risk-of-bat-coronavirus-emergence?menu=1</w:t>
        </w:r>
      </w:hyperlink>
    </w:p>
    <w:p w14:paraId="0FE8488E" w14:textId="77777777" w:rsidR="000F43B5" w:rsidRDefault="00000000">
      <w:pPr>
        <w:spacing w:before="120" w:after="120"/>
      </w:pPr>
      <w:r>
        <w:t xml:space="preserve">Company, M. &amp;. (February 25, 2025). Tough trade-offs: How time and career choices shape the gender pay gap. McKinsey. </w:t>
      </w:r>
      <w:hyperlink r:id="rId13" w:history="1">
        <w:r w:rsidR="000F43B5">
          <w:rPr>
            <w:color w:val="0000EE"/>
            <w:u w:val="single" w:color="0000EE"/>
          </w:rPr>
          <w:t>https://www.mckinsey.com/mgi/our-research/tough-trade-offs-how-time-and-career-choices-shape-the-gender-pay-gap</w:t>
        </w:r>
      </w:hyperlink>
    </w:p>
    <w:p w14:paraId="5D34338B" w14:textId="77777777" w:rsidR="000F43B5" w:rsidRDefault="00000000">
      <w:pPr>
        <w:spacing w:before="120" w:after="120"/>
      </w:pPr>
      <w:r>
        <w:t xml:space="preserve">(2011). Women in STEM: A Gender Gap to Innovation. U.S. Department of Commerce. </w:t>
      </w:r>
      <w:hyperlink r:id="rId14" w:history="1">
        <w:r w:rsidR="000F43B5">
          <w:rPr>
            <w:color w:val="0000EE"/>
            <w:u w:val="single" w:color="0000EE"/>
          </w:rPr>
          <w:t>https://www.commerce.gov/data-and-reports/reports/2011/08/women-stem-gender-gap-innovation</w:t>
        </w:r>
      </w:hyperlink>
    </w:p>
    <w:p w14:paraId="36AA5209" w14:textId="77777777" w:rsidR="000F43B5" w:rsidRDefault="00000000">
      <w:pPr>
        <w:spacing w:before="120" w:after="120"/>
      </w:pPr>
      <w:r>
        <w:t xml:space="preserve">(2025). The Ethical Role of Pro-Equality Laws in Reducing Executive Gender Pay Gaps under Cultural Resistance. Journal of Business Ethics. </w:t>
      </w:r>
      <w:hyperlink r:id="rId15" w:history="1">
        <w:r w:rsidR="000F43B5">
          <w:rPr>
            <w:color w:val="0000EE"/>
            <w:u w:val="single" w:color="0000EE"/>
          </w:rPr>
          <w:t>https://doi.org/10.1007/s10551-025-06184-6</w:t>
        </w:r>
      </w:hyperlink>
    </w:p>
    <w:p w14:paraId="3F19E462" w14:textId="77777777" w:rsidR="000F43B5" w:rsidRDefault="00000000">
      <w:pPr>
        <w:spacing w:before="120" w:after="120"/>
      </w:pPr>
      <w:r>
        <w:t xml:space="preserve">(n.d.). Pay Transparency Tools to Close the Gender Wage Gap. </w:t>
      </w:r>
      <w:hyperlink r:id="rId16" w:history="1">
        <w:r w:rsidR="000F43B5">
          <w:rPr>
            <w:color w:val="0000EE"/>
            <w:u w:val="single" w:color="0000EE"/>
          </w:rPr>
          <w:t>https://www.oecd.org/gender/pay-transparency-tools-to-close-the-gender-wage-gap-eba5b91d-en.htm</w:t>
        </w:r>
      </w:hyperlink>
    </w:p>
    <w:p w14:paraId="5F5B5785" w14:textId="77777777" w:rsidR="000F43B5" w:rsidRDefault="00000000">
      <w:pPr>
        <w:spacing w:before="120" w:after="120"/>
      </w:pPr>
      <w:r>
        <w:t xml:space="preserve">(n.d.). Special Topics Annual Report: Women in STEM. </w:t>
      </w:r>
      <w:hyperlink r:id="rId17" w:history="1">
        <w:r w:rsidR="000F43B5">
          <w:rPr>
            <w:color w:val="0000EE"/>
            <w:u w:val="single" w:color="0000EE"/>
          </w:rPr>
          <w:t>https://www.eeoc.gov/special-topics-annual-report-women-stem</w:t>
        </w:r>
      </w:hyperlink>
    </w:p>
    <w:p w14:paraId="4E3973F0" w14:textId="77777777" w:rsidR="000F43B5" w:rsidRDefault="00000000">
      <w:pPr>
        <w:spacing w:before="120" w:after="120"/>
      </w:pPr>
      <w:r>
        <w:t xml:space="preserve">Fry, R. &amp; Aragão, C. (February 28, 2023). Gender pay gap remained stable over past 20 years in US. Pew Research Center. </w:t>
      </w:r>
      <w:hyperlink r:id="rId18" w:history="1">
        <w:r w:rsidR="000F43B5">
          <w:rPr>
            <w:color w:val="0000EE"/>
            <w:u w:val="single" w:color="0000EE"/>
          </w:rPr>
          <w:t>https://www.pewresearch.org/social-trends/2023/03/01/gender-pay-gap-facts/</w:t>
        </w:r>
      </w:hyperlink>
    </w:p>
    <w:p w14:paraId="0D21AA3D" w14:textId="77777777" w:rsidR="000F43B5" w:rsidRDefault="000F43B5">
      <w:pPr>
        <w:spacing w:before="120" w:after="120"/>
      </w:pPr>
    </w:p>
    <w:p w14:paraId="5F8C96C9" w14:textId="77777777" w:rsidR="000F43B5" w:rsidRDefault="000F43B5">
      <w:pPr>
        <w:spacing w:before="120" w:after="120"/>
      </w:pPr>
    </w:p>
    <w:p w14:paraId="2F8198CD" w14:textId="77777777" w:rsidR="000F43B5" w:rsidRDefault="000F43B5">
      <w:pPr>
        <w:spacing w:before="120" w:after="120"/>
      </w:pPr>
    </w:p>
    <w:p w14:paraId="19CFCD03" w14:textId="77777777" w:rsidR="000F43B5" w:rsidRDefault="000F43B5">
      <w:pPr>
        <w:spacing w:before="120" w:after="120"/>
      </w:pPr>
    </w:p>
    <w:p w14:paraId="53F8AC14" w14:textId="77777777" w:rsidR="000F43B5" w:rsidRDefault="000F43B5">
      <w:pPr>
        <w:spacing w:before="120" w:after="120"/>
      </w:pPr>
    </w:p>
    <w:p w14:paraId="05EE59C1" w14:textId="77777777" w:rsidR="000F43B5" w:rsidRDefault="000F43B5">
      <w:pPr>
        <w:spacing w:before="120" w:after="120"/>
      </w:pPr>
    </w:p>
    <w:p w14:paraId="23F5F677" w14:textId="77777777" w:rsidR="000F43B5" w:rsidRDefault="000F43B5">
      <w:pPr>
        <w:spacing w:before="120" w:after="120"/>
      </w:pPr>
    </w:p>
    <w:p w14:paraId="2DFCF34C" w14:textId="77777777" w:rsidR="000F43B5" w:rsidRDefault="000F43B5">
      <w:pPr>
        <w:spacing w:before="120" w:after="120"/>
      </w:pPr>
    </w:p>
    <w:p w14:paraId="5C0E69B3" w14:textId="77777777" w:rsidR="000F43B5" w:rsidRDefault="000F43B5">
      <w:pPr>
        <w:spacing w:before="120" w:after="120"/>
      </w:pPr>
    </w:p>
    <w:p w14:paraId="2FF9CF9F" w14:textId="77777777" w:rsidR="000F43B5" w:rsidRDefault="000F43B5">
      <w:pPr>
        <w:spacing w:before="120" w:after="120"/>
      </w:pPr>
    </w:p>
    <w:p w14:paraId="1D9EC734" w14:textId="77777777" w:rsidR="000F43B5" w:rsidRDefault="000F43B5">
      <w:pPr>
        <w:spacing w:before="120" w:after="120"/>
      </w:pPr>
    </w:p>
    <w:p w14:paraId="6F4CD175" w14:textId="77777777" w:rsidR="000F43B5" w:rsidRDefault="000F43B5">
      <w:pPr>
        <w:spacing w:before="120" w:after="120"/>
      </w:pPr>
    </w:p>
    <w:p w14:paraId="710C5EDA" w14:textId="77777777" w:rsidR="000F43B5" w:rsidRDefault="000F43B5">
      <w:pPr>
        <w:spacing w:before="120" w:after="120"/>
      </w:pPr>
    </w:p>
    <w:p w14:paraId="029FBA06" w14:textId="77777777" w:rsidR="000F43B5" w:rsidRDefault="000F43B5">
      <w:pPr>
        <w:spacing w:before="120" w:after="120"/>
      </w:pPr>
    </w:p>
    <w:p w14:paraId="44B03027" w14:textId="77777777" w:rsidR="000F43B5" w:rsidRDefault="000F43B5">
      <w:pPr>
        <w:spacing w:before="120" w:after="120"/>
      </w:pPr>
    </w:p>
    <w:sectPr w:rsidR="000F43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2196E482">
      <w:start w:val="1"/>
      <w:numFmt w:val="bullet"/>
      <w:lvlText w:val=""/>
      <w:lvlJc w:val="left"/>
      <w:pPr>
        <w:ind w:left="720" w:hanging="360"/>
      </w:pPr>
      <w:rPr>
        <w:rFonts w:ascii="Symbol" w:hAnsi="Symbol"/>
      </w:rPr>
    </w:lvl>
    <w:lvl w:ilvl="1" w:tplc="13D05322">
      <w:start w:val="1"/>
      <w:numFmt w:val="bullet"/>
      <w:lvlText w:val="o"/>
      <w:lvlJc w:val="left"/>
      <w:pPr>
        <w:tabs>
          <w:tab w:val="num" w:pos="1440"/>
        </w:tabs>
        <w:ind w:left="1440" w:hanging="360"/>
      </w:pPr>
      <w:rPr>
        <w:rFonts w:ascii="Courier New" w:hAnsi="Courier New"/>
      </w:rPr>
    </w:lvl>
    <w:lvl w:ilvl="2" w:tplc="C5FAAE82">
      <w:start w:val="1"/>
      <w:numFmt w:val="bullet"/>
      <w:lvlText w:val=""/>
      <w:lvlJc w:val="left"/>
      <w:pPr>
        <w:tabs>
          <w:tab w:val="num" w:pos="2160"/>
        </w:tabs>
        <w:ind w:left="2160" w:hanging="360"/>
      </w:pPr>
      <w:rPr>
        <w:rFonts w:ascii="Wingdings" w:hAnsi="Wingdings"/>
      </w:rPr>
    </w:lvl>
    <w:lvl w:ilvl="3" w:tplc="508801DC">
      <w:start w:val="1"/>
      <w:numFmt w:val="bullet"/>
      <w:lvlText w:val=""/>
      <w:lvlJc w:val="left"/>
      <w:pPr>
        <w:tabs>
          <w:tab w:val="num" w:pos="2880"/>
        </w:tabs>
        <w:ind w:left="2880" w:hanging="360"/>
      </w:pPr>
      <w:rPr>
        <w:rFonts w:ascii="Symbol" w:hAnsi="Symbol"/>
      </w:rPr>
    </w:lvl>
    <w:lvl w:ilvl="4" w:tplc="9A8C797A">
      <w:start w:val="1"/>
      <w:numFmt w:val="bullet"/>
      <w:lvlText w:val="o"/>
      <w:lvlJc w:val="left"/>
      <w:pPr>
        <w:tabs>
          <w:tab w:val="num" w:pos="3600"/>
        </w:tabs>
        <w:ind w:left="3600" w:hanging="360"/>
      </w:pPr>
      <w:rPr>
        <w:rFonts w:ascii="Courier New" w:hAnsi="Courier New"/>
      </w:rPr>
    </w:lvl>
    <w:lvl w:ilvl="5" w:tplc="AC1A0796">
      <w:start w:val="1"/>
      <w:numFmt w:val="bullet"/>
      <w:lvlText w:val=""/>
      <w:lvlJc w:val="left"/>
      <w:pPr>
        <w:tabs>
          <w:tab w:val="num" w:pos="4320"/>
        </w:tabs>
        <w:ind w:left="4320" w:hanging="360"/>
      </w:pPr>
      <w:rPr>
        <w:rFonts w:ascii="Wingdings" w:hAnsi="Wingdings"/>
      </w:rPr>
    </w:lvl>
    <w:lvl w:ilvl="6" w:tplc="4E80E5D6">
      <w:start w:val="1"/>
      <w:numFmt w:val="bullet"/>
      <w:lvlText w:val=""/>
      <w:lvlJc w:val="left"/>
      <w:pPr>
        <w:tabs>
          <w:tab w:val="num" w:pos="5040"/>
        </w:tabs>
        <w:ind w:left="5040" w:hanging="360"/>
      </w:pPr>
      <w:rPr>
        <w:rFonts w:ascii="Symbol" w:hAnsi="Symbol"/>
      </w:rPr>
    </w:lvl>
    <w:lvl w:ilvl="7" w:tplc="FDAC5FB0">
      <w:start w:val="1"/>
      <w:numFmt w:val="bullet"/>
      <w:lvlText w:val="o"/>
      <w:lvlJc w:val="left"/>
      <w:pPr>
        <w:tabs>
          <w:tab w:val="num" w:pos="5760"/>
        </w:tabs>
        <w:ind w:left="5760" w:hanging="360"/>
      </w:pPr>
      <w:rPr>
        <w:rFonts w:ascii="Courier New" w:hAnsi="Courier New"/>
      </w:rPr>
    </w:lvl>
    <w:lvl w:ilvl="8" w:tplc="787820D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1125C5E">
      <w:start w:val="1"/>
      <w:numFmt w:val="bullet"/>
      <w:lvlText w:val=""/>
      <w:lvlJc w:val="left"/>
      <w:pPr>
        <w:ind w:left="720" w:hanging="360"/>
      </w:pPr>
      <w:rPr>
        <w:rFonts w:ascii="Symbol" w:hAnsi="Symbol"/>
      </w:rPr>
    </w:lvl>
    <w:lvl w:ilvl="1" w:tplc="DCA65A3E">
      <w:start w:val="1"/>
      <w:numFmt w:val="bullet"/>
      <w:lvlText w:val="o"/>
      <w:lvlJc w:val="left"/>
      <w:pPr>
        <w:tabs>
          <w:tab w:val="num" w:pos="1440"/>
        </w:tabs>
        <w:ind w:left="1440" w:hanging="360"/>
      </w:pPr>
      <w:rPr>
        <w:rFonts w:ascii="Courier New" w:hAnsi="Courier New"/>
      </w:rPr>
    </w:lvl>
    <w:lvl w:ilvl="2" w:tplc="7D66304C">
      <w:start w:val="1"/>
      <w:numFmt w:val="bullet"/>
      <w:lvlText w:val=""/>
      <w:lvlJc w:val="left"/>
      <w:pPr>
        <w:tabs>
          <w:tab w:val="num" w:pos="2160"/>
        </w:tabs>
        <w:ind w:left="2160" w:hanging="360"/>
      </w:pPr>
      <w:rPr>
        <w:rFonts w:ascii="Wingdings" w:hAnsi="Wingdings"/>
      </w:rPr>
    </w:lvl>
    <w:lvl w:ilvl="3" w:tplc="559006C4">
      <w:start w:val="1"/>
      <w:numFmt w:val="bullet"/>
      <w:lvlText w:val=""/>
      <w:lvlJc w:val="left"/>
      <w:pPr>
        <w:tabs>
          <w:tab w:val="num" w:pos="2880"/>
        </w:tabs>
        <w:ind w:left="2880" w:hanging="360"/>
      </w:pPr>
      <w:rPr>
        <w:rFonts w:ascii="Symbol" w:hAnsi="Symbol"/>
      </w:rPr>
    </w:lvl>
    <w:lvl w:ilvl="4" w:tplc="CC7411BE">
      <w:start w:val="1"/>
      <w:numFmt w:val="bullet"/>
      <w:lvlText w:val="o"/>
      <w:lvlJc w:val="left"/>
      <w:pPr>
        <w:tabs>
          <w:tab w:val="num" w:pos="3600"/>
        </w:tabs>
        <w:ind w:left="3600" w:hanging="360"/>
      </w:pPr>
      <w:rPr>
        <w:rFonts w:ascii="Courier New" w:hAnsi="Courier New"/>
      </w:rPr>
    </w:lvl>
    <w:lvl w:ilvl="5" w:tplc="F86C0E46">
      <w:start w:val="1"/>
      <w:numFmt w:val="bullet"/>
      <w:lvlText w:val=""/>
      <w:lvlJc w:val="left"/>
      <w:pPr>
        <w:tabs>
          <w:tab w:val="num" w:pos="4320"/>
        </w:tabs>
        <w:ind w:left="4320" w:hanging="360"/>
      </w:pPr>
      <w:rPr>
        <w:rFonts w:ascii="Wingdings" w:hAnsi="Wingdings"/>
      </w:rPr>
    </w:lvl>
    <w:lvl w:ilvl="6" w:tplc="F384AEC8">
      <w:start w:val="1"/>
      <w:numFmt w:val="bullet"/>
      <w:lvlText w:val=""/>
      <w:lvlJc w:val="left"/>
      <w:pPr>
        <w:tabs>
          <w:tab w:val="num" w:pos="5040"/>
        </w:tabs>
        <w:ind w:left="5040" w:hanging="360"/>
      </w:pPr>
      <w:rPr>
        <w:rFonts w:ascii="Symbol" w:hAnsi="Symbol"/>
      </w:rPr>
    </w:lvl>
    <w:lvl w:ilvl="7" w:tplc="C38A3E8A">
      <w:start w:val="1"/>
      <w:numFmt w:val="bullet"/>
      <w:lvlText w:val="o"/>
      <w:lvlJc w:val="left"/>
      <w:pPr>
        <w:tabs>
          <w:tab w:val="num" w:pos="5760"/>
        </w:tabs>
        <w:ind w:left="5760" w:hanging="360"/>
      </w:pPr>
      <w:rPr>
        <w:rFonts w:ascii="Courier New" w:hAnsi="Courier New"/>
      </w:rPr>
    </w:lvl>
    <w:lvl w:ilvl="8" w:tplc="AE0A317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664EDE4">
      <w:start w:val="1"/>
      <w:numFmt w:val="bullet"/>
      <w:lvlText w:val=""/>
      <w:lvlJc w:val="left"/>
      <w:pPr>
        <w:ind w:left="720" w:hanging="360"/>
      </w:pPr>
      <w:rPr>
        <w:rFonts w:ascii="Symbol" w:hAnsi="Symbol"/>
      </w:rPr>
    </w:lvl>
    <w:lvl w:ilvl="1" w:tplc="F978115C">
      <w:start w:val="1"/>
      <w:numFmt w:val="bullet"/>
      <w:lvlText w:val="o"/>
      <w:lvlJc w:val="left"/>
      <w:pPr>
        <w:tabs>
          <w:tab w:val="num" w:pos="1440"/>
        </w:tabs>
        <w:ind w:left="1440" w:hanging="360"/>
      </w:pPr>
      <w:rPr>
        <w:rFonts w:ascii="Courier New" w:hAnsi="Courier New"/>
      </w:rPr>
    </w:lvl>
    <w:lvl w:ilvl="2" w:tplc="6CF8F45C">
      <w:start w:val="1"/>
      <w:numFmt w:val="bullet"/>
      <w:lvlText w:val=""/>
      <w:lvlJc w:val="left"/>
      <w:pPr>
        <w:tabs>
          <w:tab w:val="num" w:pos="2160"/>
        </w:tabs>
        <w:ind w:left="2160" w:hanging="360"/>
      </w:pPr>
      <w:rPr>
        <w:rFonts w:ascii="Wingdings" w:hAnsi="Wingdings"/>
      </w:rPr>
    </w:lvl>
    <w:lvl w:ilvl="3" w:tplc="0E7AB8D6">
      <w:start w:val="1"/>
      <w:numFmt w:val="bullet"/>
      <w:lvlText w:val=""/>
      <w:lvlJc w:val="left"/>
      <w:pPr>
        <w:tabs>
          <w:tab w:val="num" w:pos="2880"/>
        </w:tabs>
        <w:ind w:left="2880" w:hanging="360"/>
      </w:pPr>
      <w:rPr>
        <w:rFonts w:ascii="Symbol" w:hAnsi="Symbol"/>
      </w:rPr>
    </w:lvl>
    <w:lvl w:ilvl="4" w:tplc="7974B248">
      <w:start w:val="1"/>
      <w:numFmt w:val="bullet"/>
      <w:lvlText w:val="o"/>
      <w:lvlJc w:val="left"/>
      <w:pPr>
        <w:tabs>
          <w:tab w:val="num" w:pos="3600"/>
        </w:tabs>
        <w:ind w:left="3600" w:hanging="360"/>
      </w:pPr>
      <w:rPr>
        <w:rFonts w:ascii="Courier New" w:hAnsi="Courier New"/>
      </w:rPr>
    </w:lvl>
    <w:lvl w:ilvl="5" w:tplc="F612B6EA">
      <w:start w:val="1"/>
      <w:numFmt w:val="bullet"/>
      <w:lvlText w:val=""/>
      <w:lvlJc w:val="left"/>
      <w:pPr>
        <w:tabs>
          <w:tab w:val="num" w:pos="4320"/>
        </w:tabs>
        <w:ind w:left="4320" w:hanging="360"/>
      </w:pPr>
      <w:rPr>
        <w:rFonts w:ascii="Wingdings" w:hAnsi="Wingdings"/>
      </w:rPr>
    </w:lvl>
    <w:lvl w:ilvl="6" w:tplc="BD9A6D4E">
      <w:start w:val="1"/>
      <w:numFmt w:val="bullet"/>
      <w:lvlText w:val=""/>
      <w:lvlJc w:val="left"/>
      <w:pPr>
        <w:tabs>
          <w:tab w:val="num" w:pos="5040"/>
        </w:tabs>
        <w:ind w:left="5040" w:hanging="360"/>
      </w:pPr>
      <w:rPr>
        <w:rFonts w:ascii="Symbol" w:hAnsi="Symbol"/>
      </w:rPr>
    </w:lvl>
    <w:lvl w:ilvl="7" w:tplc="E05E2F2C">
      <w:start w:val="1"/>
      <w:numFmt w:val="bullet"/>
      <w:lvlText w:val="o"/>
      <w:lvlJc w:val="left"/>
      <w:pPr>
        <w:tabs>
          <w:tab w:val="num" w:pos="5760"/>
        </w:tabs>
        <w:ind w:left="5760" w:hanging="360"/>
      </w:pPr>
      <w:rPr>
        <w:rFonts w:ascii="Courier New" w:hAnsi="Courier New"/>
      </w:rPr>
    </w:lvl>
    <w:lvl w:ilvl="8" w:tplc="1A266B3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21846B0">
      <w:start w:val="1"/>
      <w:numFmt w:val="bullet"/>
      <w:lvlText w:val=""/>
      <w:lvlJc w:val="left"/>
      <w:pPr>
        <w:ind w:left="720" w:hanging="360"/>
      </w:pPr>
      <w:rPr>
        <w:rFonts w:ascii="Symbol" w:hAnsi="Symbol"/>
      </w:rPr>
    </w:lvl>
    <w:lvl w:ilvl="1" w:tplc="2AFC7754">
      <w:start w:val="1"/>
      <w:numFmt w:val="bullet"/>
      <w:lvlText w:val="o"/>
      <w:lvlJc w:val="left"/>
      <w:pPr>
        <w:tabs>
          <w:tab w:val="num" w:pos="1440"/>
        </w:tabs>
        <w:ind w:left="1440" w:hanging="360"/>
      </w:pPr>
      <w:rPr>
        <w:rFonts w:ascii="Courier New" w:hAnsi="Courier New"/>
      </w:rPr>
    </w:lvl>
    <w:lvl w:ilvl="2" w:tplc="626A17A6">
      <w:start w:val="1"/>
      <w:numFmt w:val="bullet"/>
      <w:lvlText w:val=""/>
      <w:lvlJc w:val="left"/>
      <w:pPr>
        <w:tabs>
          <w:tab w:val="num" w:pos="2160"/>
        </w:tabs>
        <w:ind w:left="2160" w:hanging="360"/>
      </w:pPr>
      <w:rPr>
        <w:rFonts w:ascii="Wingdings" w:hAnsi="Wingdings"/>
      </w:rPr>
    </w:lvl>
    <w:lvl w:ilvl="3" w:tplc="9D507212">
      <w:start w:val="1"/>
      <w:numFmt w:val="bullet"/>
      <w:lvlText w:val=""/>
      <w:lvlJc w:val="left"/>
      <w:pPr>
        <w:tabs>
          <w:tab w:val="num" w:pos="2880"/>
        </w:tabs>
        <w:ind w:left="2880" w:hanging="360"/>
      </w:pPr>
      <w:rPr>
        <w:rFonts w:ascii="Symbol" w:hAnsi="Symbol"/>
      </w:rPr>
    </w:lvl>
    <w:lvl w:ilvl="4" w:tplc="90824C62">
      <w:start w:val="1"/>
      <w:numFmt w:val="bullet"/>
      <w:lvlText w:val="o"/>
      <w:lvlJc w:val="left"/>
      <w:pPr>
        <w:tabs>
          <w:tab w:val="num" w:pos="3600"/>
        </w:tabs>
        <w:ind w:left="3600" w:hanging="360"/>
      </w:pPr>
      <w:rPr>
        <w:rFonts w:ascii="Courier New" w:hAnsi="Courier New"/>
      </w:rPr>
    </w:lvl>
    <w:lvl w:ilvl="5" w:tplc="CFC2CF92">
      <w:start w:val="1"/>
      <w:numFmt w:val="bullet"/>
      <w:lvlText w:val=""/>
      <w:lvlJc w:val="left"/>
      <w:pPr>
        <w:tabs>
          <w:tab w:val="num" w:pos="4320"/>
        </w:tabs>
        <w:ind w:left="4320" w:hanging="360"/>
      </w:pPr>
      <w:rPr>
        <w:rFonts w:ascii="Wingdings" w:hAnsi="Wingdings"/>
      </w:rPr>
    </w:lvl>
    <w:lvl w:ilvl="6" w:tplc="AE30DBCC">
      <w:start w:val="1"/>
      <w:numFmt w:val="bullet"/>
      <w:lvlText w:val=""/>
      <w:lvlJc w:val="left"/>
      <w:pPr>
        <w:tabs>
          <w:tab w:val="num" w:pos="5040"/>
        </w:tabs>
        <w:ind w:left="5040" w:hanging="360"/>
      </w:pPr>
      <w:rPr>
        <w:rFonts w:ascii="Symbol" w:hAnsi="Symbol"/>
      </w:rPr>
    </w:lvl>
    <w:lvl w:ilvl="7" w:tplc="99AA945A">
      <w:start w:val="1"/>
      <w:numFmt w:val="bullet"/>
      <w:lvlText w:val="o"/>
      <w:lvlJc w:val="left"/>
      <w:pPr>
        <w:tabs>
          <w:tab w:val="num" w:pos="5760"/>
        </w:tabs>
        <w:ind w:left="5760" w:hanging="360"/>
      </w:pPr>
      <w:rPr>
        <w:rFonts w:ascii="Courier New" w:hAnsi="Courier New"/>
      </w:rPr>
    </w:lvl>
    <w:lvl w:ilvl="8" w:tplc="C42E9188">
      <w:start w:val="1"/>
      <w:numFmt w:val="bullet"/>
      <w:lvlText w:val=""/>
      <w:lvlJc w:val="left"/>
      <w:pPr>
        <w:tabs>
          <w:tab w:val="num" w:pos="6480"/>
        </w:tabs>
        <w:ind w:left="6480" w:hanging="360"/>
      </w:pPr>
      <w:rPr>
        <w:rFonts w:ascii="Wingdings" w:hAnsi="Wingdings"/>
      </w:rPr>
    </w:lvl>
  </w:abstractNum>
  <w:num w:numId="1" w16cid:durableId="199325321">
    <w:abstractNumId w:val="0"/>
  </w:num>
  <w:num w:numId="2" w16cid:durableId="1578979243">
    <w:abstractNumId w:val="1"/>
  </w:num>
  <w:num w:numId="3" w16cid:durableId="979845521">
    <w:abstractNumId w:val="2"/>
  </w:num>
  <w:num w:numId="4" w16cid:durableId="1793864749">
    <w:abstractNumId w:val="3"/>
  </w:num>
  <w:num w:numId="5" w16cid:durableId="1051884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B5"/>
    <w:rsid w:val="000F43B5"/>
    <w:rsid w:val="00271B18"/>
    <w:rsid w:val="009A6122"/>
    <w:rsid w:val="00A87B40"/>
    <w:rsid w:val="00B7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016D"/>
  <w15:docId w15:val="{06597F4C-24D6-41F5-931A-7970A593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we.org/research/2025/us-earnings-gap/" TargetMode="External"/><Relationship Id="rId13" Type="http://schemas.openxmlformats.org/officeDocument/2006/relationships/hyperlink" Target="https://www.mckinsey.com/mgi/our-research/tough-trade-offs-how-time-and-career-choices-shape-the-gender-pay-gap" TargetMode="External"/><Relationship Id="rId18" Type="http://schemas.openxmlformats.org/officeDocument/2006/relationships/hyperlink" Target="https://www.pewresearch.org/social-trends/2023/03/01/gender-pay-gap-facts/" TargetMode="External"/><Relationship Id="rId3" Type="http://schemas.openxmlformats.org/officeDocument/2006/relationships/settings" Target="settings.xml"/><Relationship Id="rId7" Type="http://schemas.openxmlformats.org/officeDocument/2006/relationships/hyperlink" Target="https://www.aiprm.com/women-in-stem-statistics/" TargetMode="External"/><Relationship Id="rId12" Type="http://schemas.openxmlformats.org/officeDocument/2006/relationships/hyperlink" Target="https://theintercept.com/document/2021/09/08/understanding-the-risk-of-bat-coronavirus-emergence?menu=1" TargetMode="External"/><Relationship Id="rId17" Type="http://schemas.openxmlformats.org/officeDocument/2006/relationships/hyperlink" Target="https://www.eeoc.gov/special-topics-annual-report-women-stem" TargetMode="External"/><Relationship Id="rId2" Type="http://schemas.openxmlformats.org/officeDocument/2006/relationships/styles" Target="styles.xml"/><Relationship Id="rId16" Type="http://schemas.openxmlformats.org/officeDocument/2006/relationships/hyperlink" Target="https://www.oecd.org/gender/pay-transparency-tools-to-close-the-gender-wage-gap-eba5b91d-en.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rdive.com/news/gender-pay-gap-widening-in-stem/717223/" TargetMode="External"/><Relationship Id="rId11" Type="http://schemas.openxmlformats.org/officeDocument/2006/relationships/hyperlink" Target="https://doi.org/10.2139/ssrn.3344653" TargetMode="External"/><Relationship Id="rId5" Type="http://schemas.openxmlformats.org/officeDocument/2006/relationships/hyperlink" Target="https://swe.org/research/2025/us-earnings-gap/" TargetMode="External"/><Relationship Id="rId15" Type="http://schemas.openxmlformats.org/officeDocument/2006/relationships/hyperlink" Target="https://doi.org/10.1007/s10551-025-06184-6" TargetMode="External"/><Relationship Id="rId10" Type="http://schemas.openxmlformats.org/officeDocument/2006/relationships/hyperlink" Target="https://www.hrdive.com/news/gender-pay-gap-widening-in-stem/7172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rdive.com/news/gender-pay-gap-widening-in-stem/717223/" TargetMode="External"/><Relationship Id="rId14" Type="http://schemas.openxmlformats.org/officeDocument/2006/relationships/hyperlink" Target="https://www.commerce.gov/data-and-reports/reports/2011/08/women-stem-gender-gap-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Inquiry%20Proposal</dc:title>
  <cp:lastModifiedBy>jean-willy LAREUS</cp:lastModifiedBy>
  <cp:revision>2</cp:revision>
  <dcterms:created xsi:type="dcterms:W3CDTF">2026-02-21T04:17:00Z</dcterms:created>
  <dcterms:modified xsi:type="dcterms:W3CDTF">2026-02-23T00:03:00Z</dcterms:modified>
</cp:coreProperties>
</file>